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D" w:rsidRDefault="00AE267D" w:rsidP="00AE267D">
      <w:pPr>
        <w:spacing w:line="0" w:lineRule="atLeast"/>
        <w:ind w:left="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Постановка задачи</w:t>
      </w:r>
    </w:p>
    <w:p w:rsidR="00AE267D" w:rsidRDefault="00AE267D" w:rsidP="00AE267D">
      <w:pPr>
        <w:spacing w:line="191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37" w:lineRule="auto"/>
        <w:ind w:left="7" w:firstLine="42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Улучшение имеющегося автоматизированного измерительного комплекса </w:t>
      </w:r>
      <w:proofErr w:type="gramStart"/>
      <w:r>
        <w:rPr>
          <w:rFonts w:ascii="Arial" w:eastAsia="Arial" w:hAnsi="Arial"/>
        </w:rPr>
        <w:t>вольт-амперных</w:t>
      </w:r>
      <w:proofErr w:type="gramEnd"/>
      <w:r>
        <w:rPr>
          <w:rFonts w:ascii="Arial" w:eastAsia="Arial" w:hAnsi="Arial"/>
        </w:rPr>
        <w:t xml:space="preserve"> характеристик (ВАХ) полупроводниковых микро- и наноструктур [1]. Повышение достоверности измерений ВАХ за счет анализа и удаления «промахов» при обработке результатов выборки измерения, а также расчет погрешности в зависимости от количества усреднений.</w:t>
      </w:r>
    </w:p>
    <w:p w:rsidR="00AE267D" w:rsidRDefault="00AE267D" w:rsidP="00AE267D">
      <w:pPr>
        <w:spacing w:line="229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0" w:lineRule="atLeast"/>
        <w:ind w:left="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Используемое оборудование и программное обеспечение</w:t>
      </w:r>
    </w:p>
    <w:p w:rsidR="00AE267D" w:rsidRDefault="00AE267D" w:rsidP="00AE267D">
      <w:pPr>
        <w:spacing w:line="13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33" w:lineRule="auto"/>
        <w:ind w:left="7" w:firstLine="42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Измерительно-аналитический комплекс построен на базе криостата замкнутого цикла Janis CCS-400/204n, управляемого температурным контроллером LakeShore 335, и электрометра Keithley 6517B</w:t>
      </w:r>
    </w:p>
    <w:p w:rsidR="00AE267D" w:rsidRDefault="00AE267D" w:rsidP="00AE267D">
      <w:pPr>
        <w:spacing w:line="12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numPr>
          <w:ilvl w:val="0"/>
          <w:numId w:val="1"/>
        </w:numPr>
        <w:spacing w:line="234" w:lineRule="auto"/>
        <w:ind w:left="7" w:hanging="7"/>
        <w:rPr>
          <w:rFonts w:ascii="Arial" w:eastAsia="Arial" w:hAnsi="Arial"/>
        </w:rPr>
      </w:pPr>
      <w:r>
        <w:rPr>
          <w:rFonts w:ascii="Arial" w:eastAsia="Arial" w:hAnsi="Arial"/>
        </w:rPr>
        <w:t>Для управления созданным комплексом используется среда программирования LabVIEW 2013 и высокопроизводительный GPIB интерфейс NI PCI-GPIB.</w:t>
      </w:r>
    </w:p>
    <w:p w:rsidR="00AE267D" w:rsidRDefault="00AE267D" w:rsidP="00AE267D">
      <w:pPr>
        <w:spacing w:line="23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0" w:lineRule="atLeast"/>
        <w:ind w:left="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Описание решения</w:t>
      </w:r>
    </w:p>
    <w:p w:rsidR="00AE267D" w:rsidRDefault="00AE267D" w:rsidP="00AE267D">
      <w:pPr>
        <w:spacing w:line="11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38" w:lineRule="auto"/>
        <w:ind w:left="7" w:firstLine="42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Для выявления порогового значения для промахов используется </w:t>
      </w:r>
      <w:r>
        <w:rPr>
          <w:rFonts w:ascii="Arial" w:eastAsia="Arial" w:hAnsi="Arial"/>
          <w:i/>
        </w:rPr>
        <w:t>правило трех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i/>
        </w:rPr>
        <w:t>σ</w:t>
      </w:r>
      <w:r>
        <w:rPr>
          <w:rFonts w:ascii="Arial" w:eastAsia="Arial" w:hAnsi="Arial"/>
        </w:rPr>
        <w:t xml:space="preserve"> (сигм). Хотя, если среднее арифметическое выборки получено в результате обработки выборки, правило трёх сигм преобразуется в правило трех </w:t>
      </w:r>
      <w:r>
        <w:rPr>
          <w:rFonts w:ascii="Arial" w:eastAsia="Arial" w:hAnsi="Arial"/>
          <w:i/>
        </w:rPr>
        <w:t>s</w:t>
      </w:r>
      <w:r>
        <w:rPr>
          <w:rFonts w:ascii="Arial" w:eastAsia="Arial" w:hAnsi="Arial"/>
        </w:rPr>
        <w:t xml:space="preserve"> [2, 3]. В программе реализован не только поиск «промахов», но и визуализация этого процесса (рис. 1). Таким образом, для каждого измерения можно вывести информацию на лицевую панель в виде отклонений каждого измерения от среднего для данной выборки.</w:t>
      </w:r>
    </w:p>
    <w:p w:rsidR="00AE267D" w:rsidRDefault="00AE267D" w:rsidP="00AE267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149860</wp:posOffset>
            </wp:positionV>
            <wp:extent cx="6114415" cy="2774950"/>
            <wp:effectExtent l="0" t="0" r="635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77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393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0" w:lineRule="atLeast"/>
        <w:ind w:left="307"/>
        <w:rPr>
          <w:rFonts w:ascii="Arial" w:eastAsia="Arial" w:hAnsi="Arial"/>
        </w:rPr>
      </w:pPr>
      <w:r>
        <w:rPr>
          <w:rFonts w:ascii="Arial" w:eastAsia="Arial" w:hAnsi="Arial"/>
        </w:rPr>
        <w:t>Рис. 1. Виртуальный подприбор, осуществляющий исключение «промахов» из общей обработки</w:t>
      </w:r>
    </w:p>
    <w:p w:rsidR="00AE267D" w:rsidRDefault="00AE267D" w:rsidP="00AE267D">
      <w:pPr>
        <w:spacing w:line="0" w:lineRule="atLeast"/>
        <w:ind w:left="1527"/>
        <w:rPr>
          <w:rFonts w:ascii="Arial" w:eastAsia="Arial" w:hAnsi="Arial"/>
        </w:rPr>
      </w:pPr>
      <w:r>
        <w:rPr>
          <w:rFonts w:ascii="Arial" w:eastAsia="Arial" w:hAnsi="Arial"/>
        </w:rPr>
        <w:t xml:space="preserve">выборки и визуализацию отклонений измерения </w:t>
      </w:r>
      <w:proofErr w:type="gramStart"/>
      <w:r>
        <w:rPr>
          <w:rFonts w:ascii="Arial" w:eastAsia="Arial" w:hAnsi="Arial"/>
        </w:rPr>
        <w:t>от среднего выборки</w:t>
      </w:r>
      <w:proofErr w:type="gramEnd"/>
      <w:r>
        <w:rPr>
          <w:rFonts w:ascii="Arial" w:eastAsia="Arial" w:hAnsi="Arial"/>
        </w:rPr>
        <w:t>.</w:t>
      </w:r>
    </w:p>
    <w:p w:rsidR="00AE267D" w:rsidRDefault="00AE267D" w:rsidP="00AE267D">
      <w:pPr>
        <w:spacing w:line="0" w:lineRule="atLeast"/>
        <w:ind w:left="427"/>
        <w:rPr>
          <w:rFonts w:ascii="Arial" w:eastAsia="Arial" w:hAnsi="Arial"/>
        </w:rPr>
      </w:pPr>
      <w:r>
        <w:rPr>
          <w:rFonts w:ascii="Arial" w:eastAsia="Arial" w:hAnsi="Arial"/>
        </w:rPr>
        <w:t>Для нахождения погрешности измерения можно воспользоваться приведенной формулой:</w:t>
      </w: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2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0" w:lineRule="atLeast"/>
        <w:ind w:right="13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-164-</w:t>
      </w:r>
    </w:p>
    <w:p w:rsidR="00AE267D" w:rsidRDefault="00AE267D" w:rsidP="00AE267D">
      <w:pPr>
        <w:spacing w:line="0" w:lineRule="atLeast"/>
        <w:ind w:right="13"/>
        <w:jc w:val="center"/>
        <w:rPr>
          <w:rFonts w:ascii="Times New Roman" w:eastAsia="Times New Roman" w:hAnsi="Times New Roman"/>
          <w:sz w:val="24"/>
        </w:rPr>
        <w:sectPr w:rsidR="00AE267D">
          <w:pgSz w:w="11900" w:h="16838"/>
          <w:pgMar w:top="1423" w:right="1126" w:bottom="264" w:left="1133" w:header="0" w:footer="0" w:gutter="0"/>
          <w:cols w:space="0" w:equalWidth="0">
            <w:col w:w="9647"/>
          </w:cols>
          <w:docGrid w:linePitch="360"/>
        </w:sectPr>
      </w:pPr>
    </w:p>
    <w:tbl>
      <w:tblPr>
        <w:tblW w:w="0" w:type="auto"/>
        <w:tblInd w:w="4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00"/>
        <w:gridCol w:w="160"/>
        <w:gridCol w:w="20"/>
        <w:gridCol w:w="240"/>
      </w:tblGrid>
      <w:tr w:rsidR="00AE267D" w:rsidTr="00310C1B">
        <w:trPr>
          <w:trHeight w:val="361"/>
        </w:trPr>
        <w:tc>
          <w:tcPr>
            <w:tcW w:w="460" w:type="dxa"/>
            <w:vMerge w:val="restart"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page167"/>
            <w:bookmarkEnd w:id="0"/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ind w:left="14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vMerge w:val="restart"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ind w:left="6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t</w:t>
            </w:r>
          </w:p>
        </w:tc>
      </w:tr>
      <w:tr w:rsidR="00AE267D" w:rsidTr="00310C1B">
        <w:trPr>
          <w:trHeight w:val="23"/>
        </w:trPr>
        <w:tc>
          <w:tcPr>
            <w:tcW w:w="460" w:type="dxa"/>
            <w:vMerge/>
            <w:shd w:val="clear" w:color="auto" w:fill="auto"/>
            <w:vAlign w:val="bottom"/>
          </w:tcPr>
          <w:p w:rsidR="00AE267D" w:rsidRDefault="00AE267D" w:rsidP="00310C1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E267D" w:rsidRDefault="00AE267D" w:rsidP="00310C1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67D" w:rsidRDefault="00AE267D" w:rsidP="00310C1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AE267D" w:rsidRDefault="00AE267D" w:rsidP="00310C1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vMerge/>
            <w:shd w:val="clear" w:color="auto" w:fill="auto"/>
            <w:vAlign w:val="bottom"/>
          </w:tcPr>
          <w:p w:rsidR="00AE267D" w:rsidRDefault="00AE267D" w:rsidP="00310C1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E267D" w:rsidTr="00310C1B">
        <w:trPr>
          <w:trHeight w:val="72"/>
        </w:trPr>
        <w:tc>
          <w:tcPr>
            <w:tcW w:w="460" w:type="dxa"/>
            <w:vMerge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AE267D" w:rsidRDefault="00AE267D" w:rsidP="00310C1B">
            <w:pPr>
              <w:spacing w:line="302" w:lineRule="exact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n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vMerge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AE267D" w:rsidTr="00310C1B">
        <w:trPr>
          <w:trHeight w:val="230"/>
        </w:trPr>
        <w:tc>
          <w:tcPr>
            <w:tcW w:w="460" w:type="dxa"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AE267D" w:rsidRDefault="00AE267D" w:rsidP="00310C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AE267D" w:rsidRDefault="00AE267D" w:rsidP="00AE267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-201930</wp:posOffset>
            </wp:positionV>
            <wp:extent cx="107950" cy="177165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67D" w:rsidRDefault="00AE267D" w:rsidP="00AE267D">
      <w:pPr>
        <w:spacing w:line="23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где </w:t>
      </w:r>
      <w:r>
        <w:rPr>
          <w:rFonts w:ascii="Arial" w:eastAsia="Arial" w:hAnsi="Arial"/>
          <w:i/>
        </w:rPr>
        <w:t>s</w:t>
      </w:r>
      <w:r>
        <w:rPr>
          <w:rFonts w:ascii="Arial" w:eastAsia="Arial" w:hAnsi="Arial"/>
        </w:rPr>
        <w:t xml:space="preserve"> – стандартное отклонение для выборки после цикла, показанного на рис. 1; </w:t>
      </w:r>
      <w:r>
        <w:rPr>
          <w:rFonts w:ascii="Arial" w:eastAsia="Arial" w:hAnsi="Arial"/>
          <w:i/>
        </w:rPr>
        <w:t>n</w:t>
      </w:r>
      <w:r>
        <w:rPr>
          <w:rFonts w:ascii="Arial" w:eastAsia="Arial" w:hAnsi="Arial"/>
        </w:rPr>
        <w:t xml:space="preserve"> – количество усреднений; </w:t>
      </w:r>
      <w:r>
        <w:rPr>
          <w:rFonts w:ascii="Arial" w:eastAsia="Arial" w:hAnsi="Arial"/>
          <w:i/>
        </w:rPr>
        <w:t>t</w:t>
      </w:r>
      <w:r>
        <w:rPr>
          <w:rFonts w:ascii="Arial" w:eastAsia="Arial" w:hAnsi="Arial"/>
        </w:rPr>
        <w:t xml:space="preserve"> – коэффициент Стьюдента для различной доверительной вероятности </w:t>
      </w:r>
      <w:r>
        <w:rPr>
          <w:rFonts w:ascii="Arial" w:eastAsia="Arial" w:hAnsi="Arial"/>
          <w:i/>
        </w:rPr>
        <w:t>p</w:t>
      </w:r>
      <w:r>
        <w:rPr>
          <w:rFonts w:ascii="Arial" w:eastAsia="Arial" w:hAnsi="Arial"/>
        </w:rPr>
        <w:t xml:space="preserve"> (95% по умолчанию) и числа степеней свободы </w:t>
      </w:r>
      <w:r>
        <w:rPr>
          <w:rFonts w:ascii="Arial" w:eastAsia="Arial" w:hAnsi="Arial"/>
          <w:i/>
        </w:rPr>
        <w:t>n</w:t>
      </w:r>
      <w:r>
        <w:rPr>
          <w:rFonts w:ascii="Arial" w:eastAsia="Arial" w:hAnsi="Arial"/>
        </w:rPr>
        <w:t>.</w:t>
      </w:r>
    </w:p>
    <w:p w:rsidR="00AE267D" w:rsidRDefault="00AE267D" w:rsidP="00AE267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151130</wp:posOffset>
            </wp:positionV>
            <wp:extent cx="5591810" cy="2073910"/>
            <wp:effectExtent l="0" t="0" r="889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207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85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0" w:lineRule="atLeast"/>
        <w:ind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Рис. 2. Виртуальный подприбор, осуществляющий расчет погрешности.</w:t>
      </w:r>
    </w:p>
    <w:p w:rsidR="00AE267D" w:rsidRDefault="00AE267D" w:rsidP="00AE267D">
      <w:pPr>
        <w:spacing w:line="239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52" w:lineRule="auto"/>
        <w:ind w:firstLine="428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На рис. 2 в 2D массиве находятся значения коэффициента Стьюдента для различной доверительной вероятности и числа степеней свободы (значения взяты из [3]). Программа управления измерительным комплексом осуществляет измерение ВАХ при фиксированной температуре, изменяя при этом напряжение на образце с заданным шагом. Между изменением напряжения и измерением тока существует временная задержка в 1,5 с. При первой итерации цикла измерения (рис. 3) задержка по умолчанию равна 10 с. Это сделано с целью убрать возможные резкие всплески тока в исследуемом образце. Время задержки можно изменять с учетом специфики исследуемого образца.</w:t>
      </w:r>
    </w:p>
    <w:p w:rsidR="00AE267D" w:rsidRDefault="00AE267D" w:rsidP="00AE267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9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145415</wp:posOffset>
            </wp:positionV>
            <wp:extent cx="6125210" cy="230759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230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39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0" w:lineRule="atLeast"/>
        <w:ind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Рис. 3. Виртуальный прибор общей программы.</w:t>
      </w:r>
    </w:p>
    <w:p w:rsidR="00AE267D" w:rsidRDefault="00AE267D" w:rsidP="00AE267D">
      <w:pPr>
        <w:spacing w:line="239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numPr>
          <w:ilvl w:val="0"/>
          <w:numId w:val="1"/>
        </w:numPr>
        <w:tabs>
          <w:tab w:val="left" w:pos="670"/>
        </w:tabs>
        <w:spacing w:line="236" w:lineRule="auto"/>
        <w:ind w:right="20" w:firstLine="4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программе (виртуальном приборе), показанной на рис. 3, помимо управления изменением напряжения на образце, обработки и вывода данных на монитор ПК, находятся также подприборы, которые осуществляют следующие функции:</w:t>
      </w:r>
    </w:p>
    <w:p w:rsidR="00AE267D" w:rsidRDefault="00AE267D" w:rsidP="00AE267D">
      <w:pPr>
        <w:spacing w:line="4" w:lineRule="exact"/>
        <w:rPr>
          <w:rFonts w:ascii="Arial" w:eastAsia="Arial" w:hAnsi="Arial"/>
        </w:rPr>
      </w:pPr>
    </w:p>
    <w:p w:rsidR="00AE267D" w:rsidRDefault="00AE267D" w:rsidP="00AE267D">
      <w:pPr>
        <w:spacing w:line="498" w:lineRule="auto"/>
        <w:ind w:left="1140" w:right="360"/>
        <w:rPr>
          <w:rFonts w:ascii="Arial" w:eastAsia="Arial" w:hAnsi="Arial"/>
        </w:rPr>
      </w:pPr>
      <w:r>
        <w:rPr>
          <w:rFonts w:ascii="Arial" w:eastAsia="Arial" w:hAnsi="Arial"/>
        </w:rPr>
        <w:t>создание нового файла данных с записью времени начала и условиями эксперимента; поиск и «удаление промахов» (рис. 1); расчет погрешности (рис. 2);</w:t>
      </w:r>
    </w:p>
    <w:p w:rsidR="00AE267D" w:rsidRDefault="00AE267D" w:rsidP="00AE267D">
      <w:pPr>
        <w:spacing w:line="300" w:lineRule="exact"/>
        <w:rPr>
          <w:rFonts w:ascii="Times New Roman" w:eastAsia="Times New Roman" w:hAnsi="Times New Roman"/>
        </w:rPr>
      </w:pPr>
    </w:p>
    <w:p w:rsidR="00AE267D" w:rsidRPr="00702AA2" w:rsidRDefault="00AE267D" w:rsidP="00AE267D">
      <w:pPr>
        <w:tabs>
          <w:tab w:val="left" w:pos="1120"/>
          <w:tab w:val="left" w:pos="3520"/>
          <w:tab w:val="left" w:pos="4220"/>
          <w:tab w:val="left" w:pos="4940"/>
          <w:tab w:val="left" w:pos="5640"/>
          <w:tab w:val="left" w:pos="6360"/>
        </w:tabs>
        <w:spacing w:line="0" w:lineRule="atLeast"/>
        <w:ind w:left="780"/>
        <w:rPr>
          <w:rFonts w:ascii="Arial" w:eastAsia="Arial" w:hAnsi="Arial"/>
          <w:sz w:val="19"/>
          <w:lang w:val="en-US"/>
        </w:rPr>
      </w:pP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запись</w:t>
      </w:r>
      <w:r w:rsidRPr="00702AA2">
        <w:rPr>
          <w:rFonts w:ascii="Arial" w:eastAsia="Arial" w:hAnsi="Arial"/>
          <w:lang w:val="en-US"/>
        </w:rPr>
        <w:t xml:space="preserve"> </w:t>
      </w:r>
      <w:r>
        <w:rPr>
          <w:rFonts w:ascii="Arial" w:eastAsia="Arial" w:hAnsi="Arial"/>
        </w:rPr>
        <w:t>данных</w:t>
      </w:r>
      <w:r w:rsidRPr="00702AA2">
        <w:rPr>
          <w:rFonts w:ascii="Arial" w:eastAsia="Arial" w:hAnsi="Arial"/>
          <w:lang w:val="en-US"/>
        </w:rPr>
        <w:t xml:space="preserve"> (T, K</w:t>
      </w:r>
      <w:r w:rsidRPr="00702AA2">
        <w:rPr>
          <w:rFonts w:ascii="Times New Roman" w:eastAsia="Times New Roman" w:hAnsi="Times New Roman"/>
          <w:lang w:val="en-US"/>
        </w:rPr>
        <w:tab/>
      </w:r>
      <w:r w:rsidRPr="00702AA2">
        <w:rPr>
          <w:rFonts w:ascii="Arial" w:eastAsia="Arial" w:hAnsi="Arial"/>
          <w:lang w:val="en-US"/>
        </w:rPr>
        <w:t>U, V</w:t>
      </w:r>
      <w:r w:rsidRPr="00702AA2">
        <w:rPr>
          <w:rFonts w:ascii="Times New Roman" w:eastAsia="Times New Roman" w:hAnsi="Times New Roman"/>
          <w:lang w:val="en-US"/>
        </w:rPr>
        <w:tab/>
      </w:r>
      <w:proofErr w:type="gramStart"/>
      <w:r w:rsidRPr="00702AA2">
        <w:rPr>
          <w:rFonts w:ascii="Arial" w:eastAsia="Arial" w:hAnsi="Arial"/>
          <w:lang w:val="en-US"/>
        </w:rPr>
        <w:t>I,A</w:t>
      </w:r>
      <w:proofErr w:type="gramEnd"/>
      <w:r w:rsidRPr="00702AA2">
        <w:rPr>
          <w:rFonts w:ascii="Times New Roman" w:eastAsia="Times New Roman" w:hAnsi="Times New Roman"/>
          <w:lang w:val="en-US"/>
        </w:rPr>
        <w:tab/>
      </w:r>
      <w:r w:rsidRPr="00702AA2">
        <w:rPr>
          <w:rFonts w:ascii="Arial" w:eastAsia="Arial" w:hAnsi="Arial"/>
          <w:lang w:val="en-US"/>
        </w:rPr>
        <w:t>I</w:t>
      </w:r>
      <w:r w:rsidRPr="00702AA2">
        <w:rPr>
          <w:rFonts w:ascii="Arial" w:eastAsia="Arial" w:hAnsi="Arial"/>
          <w:sz w:val="12"/>
          <w:lang w:val="en-US"/>
        </w:rPr>
        <w:t>min</w:t>
      </w:r>
      <w:r w:rsidRPr="00702AA2">
        <w:rPr>
          <w:rFonts w:ascii="Arial" w:eastAsia="Arial" w:hAnsi="Arial"/>
          <w:lang w:val="en-US"/>
        </w:rPr>
        <w:t>,A</w:t>
      </w:r>
      <w:r w:rsidRPr="00702AA2">
        <w:rPr>
          <w:rFonts w:ascii="Arial" w:eastAsia="Arial" w:hAnsi="Arial"/>
          <w:lang w:val="en-US"/>
        </w:rPr>
        <w:tab/>
        <w:t>I</w:t>
      </w:r>
      <w:r w:rsidRPr="00702AA2">
        <w:rPr>
          <w:rFonts w:ascii="Arial" w:eastAsia="Arial" w:hAnsi="Arial"/>
          <w:sz w:val="12"/>
          <w:lang w:val="en-US"/>
        </w:rPr>
        <w:t>max</w:t>
      </w:r>
      <w:r w:rsidRPr="00702AA2">
        <w:rPr>
          <w:rFonts w:ascii="Arial" w:eastAsia="Arial" w:hAnsi="Arial"/>
          <w:lang w:val="en-US"/>
        </w:rPr>
        <w:t>,A</w:t>
      </w:r>
      <w:r w:rsidRPr="00702AA2">
        <w:rPr>
          <w:rFonts w:ascii="Times New Roman" w:eastAsia="Times New Roman" w:hAnsi="Times New Roman"/>
          <w:lang w:val="en-US"/>
        </w:rPr>
        <w:tab/>
      </w:r>
      <w:r>
        <w:rPr>
          <w:rFonts w:ascii="Arial" w:eastAsia="Arial" w:hAnsi="Arial"/>
          <w:sz w:val="19"/>
        </w:rPr>
        <w:t>Δ</w:t>
      </w:r>
      <w:r w:rsidRPr="00702AA2">
        <w:rPr>
          <w:rFonts w:ascii="Arial" w:eastAsia="Arial" w:hAnsi="Arial"/>
          <w:sz w:val="19"/>
          <w:lang w:val="en-US"/>
        </w:rPr>
        <w:t>,A).</w:t>
      </w:r>
    </w:p>
    <w:p w:rsidR="00AE267D" w:rsidRPr="00702AA2" w:rsidRDefault="00AE267D" w:rsidP="00AE267D">
      <w:pPr>
        <w:spacing w:line="201" w:lineRule="exact"/>
        <w:rPr>
          <w:rFonts w:ascii="Times New Roman" w:eastAsia="Times New Roman" w:hAnsi="Times New Roman"/>
          <w:lang w:val="en-US"/>
        </w:rPr>
      </w:pPr>
    </w:p>
    <w:p w:rsidR="00AE267D" w:rsidRDefault="00AE267D" w:rsidP="00AE267D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Лицевая панель программы выводит данные на монитор ПК в виде графиков и чисел (рис. 4).</w:t>
      </w:r>
    </w:p>
    <w:p w:rsidR="00AE267D" w:rsidRDefault="00AE267D" w:rsidP="00AE267D">
      <w:pPr>
        <w:spacing w:line="392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-165-</w:t>
      </w:r>
    </w:p>
    <w:p w:rsidR="00AE267D" w:rsidRDefault="00AE267D" w:rsidP="00AE267D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  <w:sectPr w:rsidR="00AE267D">
          <w:pgSz w:w="11900" w:h="16838"/>
          <w:pgMar w:top="1420" w:right="1126" w:bottom="264" w:left="1140" w:header="0" w:footer="0" w:gutter="0"/>
          <w:cols w:space="0" w:equalWidth="0">
            <w:col w:w="9640"/>
          </w:cols>
          <w:docGrid w:linePitch="360"/>
        </w:sect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  <w:bookmarkStart w:id="1" w:name="page168"/>
      <w:bookmarkEnd w:id="1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749935</wp:posOffset>
            </wp:positionH>
            <wp:positionV relativeFrom="page">
              <wp:posOffset>900430</wp:posOffset>
            </wp:positionV>
            <wp:extent cx="6061075" cy="37731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377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200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317" w:lineRule="exact"/>
        <w:rPr>
          <w:rFonts w:ascii="Times New Roman" w:eastAsia="Times New Roman" w:hAnsi="Times New Roman"/>
        </w:rPr>
      </w:pPr>
    </w:p>
    <w:p w:rsidR="00AE267D" w:rsidRDefault="00AE267D" w:rsidP="00AE267D">
      <w:pPr>
        <w:spacing w:line="0" w:lineRule="atLeast"/>
        <w:ind w:left="2660"/>
        <w:rPr>
          <w:rFonts w:ascii="Arial" w:eastAsia="Arial" w:hAnsi="Arial"/>
        </w:rPr>
      </w:pPr>
      <w:r>
        <w:rPr>
          <w:rFonts w:ascii="Arial" w:eastAsia="Arial" w:hAnsi="Arial"/>
        </w:rPr>
        <w:t>Рис. 4. Фрагмент лицевой панели программы.</w:t>
      </w:r>
    </w:p>
    <w:p w:rsidR="00AE267D" w:rsidRDefault="00AE267D" w:rsidP="00AE267D">
      <w:pPr>
        <w:spacing w:line="228" w:lineRule="exact"/>
        <w:rPr>
          <w:rFonts w:ascii="Times New Roman" w:eastAsia="Times New Roman" w:hAnsi="Times New Roman"/>
        </w:rPr>
      </w:pPr>
    </w:p>
    <w:p w:rsidR="00BB614A" w:rsidRDefault="00BB614A">
      <w:bookmarkStart w:id="2" w:name="_GoBack"/>
      <w:bookmarkEnd w:id="2"/>
    </w:p>
    <w:sectPr w:rsidR="00BB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32A8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D"/>
    <w:rsid w:val="00AE267D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2E7EB-88F6-4180-BBF8-056B2ECB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7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2020-09-02T16:14:00Z</dcterms:created>
  <dcterms:modified xsi:type="dcterms:W3CDTF">2020-09-02T16:15:00Z</dcterms:modified>
</cp:coreProperties>
</file>